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13769850" w:displacedByCustomXml="next"/>
    <w:sdt>
      <w:sdtPr>
        <w:rPr>
          <w:rStyle w:val="TitleChar"/>
          <w:color w:val="002060"/>
          <w:u w:val="single"/>
        </w:rPr>
        <w:alias w:val="Title"/>
        <w:id w:val="-120841856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TitleChar"/>
        </w:rPr>
      </w:sdtEndPr>
      <w:sdtContent>
        <w:p w14:paraId="42E1AFCF" w14:textId="2918A6D1" w:rsidR="00207B8A" w:rsidRPr="00A11129" w:rsidRDefault="00207B8A" w:rsidP="00207B8A">
          <w:pPr>
            <w:jc w:val="center"/>
            <w:rPr>
              <w:rStyle w:val="Heading1Char"/>
            </w:rPr>
          </w:pPr>
          <w:r w:rsidRPr="00A11129">
            <w:rPr>
              <w:rStyle w:val="TitleChar"/>
              <w:color w:val="002060"/>
              <w:u w:val="single"/>
            </w:rPr>
            <w:t>University of Kentucky College of Medicine – Internal Medicine Residency Program Trainee Absence</w:t>
          </w:r>
          <w:r w:rsidR="00D77922" w:rsidRPr="00A11129">
            <w:rPr>
              <w:rStyle w:val="TitleChar"/>
              <w:color w:val="002060"/>
              <w:u w:val="single"/>
            </w:rPr>
            <w:t xml:space="preserve"> and Coverage</w:t>
          </w:r>
          <w:r w:rsidRPr="00A11129">
            <w:rPr>
              <w:rStyle w:val="TitleChar"/>
              <w:color w:val="002060"/>
              <w:u w:val="single"/>
            </w:rPr>
            <w:t xml:space="preserve"> Policy</w:t>
          </w:r>
        </w:p>
      </w:sdtContent>
    </w:sdt>
    <w:bookmarkEnd w:id="0" w:displacedByCustomXml="prev"/>
    <w:p w14:paraId="326937B6" w14:textId="77777777" w:rsidR="00BF25C2" w:rsidRPr="00D77922" w:rsidRDefault="00BF25C2" w:rsidP="00D77922">
      <w:pPr>
        <w:pStyle w:val="Heading1"/>
      </w:pPr>
      <w:bookmarkStart w:id="1" w:name="_Toc224651565"/>
      <w:r w:rsidRPr="00D77922">
        <w:t>Unanticipated Absences</w:t>
      </w:r>
      <w:bookmarkEnd w:id="1"/>
    </w:p>
    <w:p w14:paraId="098B0827" w14:textId="14DAC7AD" w:rsidR="00BF25C2" w:rsidRPr="00207B8A" w:rsidRDefault="00D77922" w:rsidP="00BF25C2">
      <w:r>
        <w:t>The University of Kentucky Internal Medicine Residency Program (</w:t>
      </w:r>
      <w:r w:rsidR="00BF25C2" w:rsidRPr="00207B8A">
        <w:t>UK IMRP</w:t>
      </w:r>
      <w:r>
        <w:t>)</w:t>
      </w:r>
      <w:r w:rsidR="00BF25C2" w:rsidRPr="00207B8A">
        <w:t xml:space="preserve"> recognizes </w:t>
      </w:r>
      <w:r w:rsidR="00416EE1">
        <w:t xml:space="preserve">unexpected </w:t>
      </w:r>
      <w:r w:rsidR="00BF25C2" w:rsidRPr="00207B8A">
        <w:t xml:space="preserve">circumstances </w:t>
      </w:r>
      <w:r w:rsidR="00416EE1">
        <w:t xml:space="preserve">may </w:t>
      </w:r>
      <w:r w:rsidR="00BF25C2" w:rsidRPr="00207B8A">
        <w:t xml:space="preserve">arise </w:t>
      </w:r>
      <w:r w:rsidR="00797756">
        <w:t xml:space="preserve">which </w:t>
      </w:r>
      <w:r w:rsidR="00BF25C2" w:rsidRPr="00207B8A">
        <w:t>preclude residents from fulfilling clinical responsibilities. Examples include acute illness, urgent family matters, transportation issues, or household emergencies (flooding, fire, etc.).</w:t>
      </w:r>
    </w:p>
    <w:p w14:paraId="35C47B23" w14:textId="282AF61D" w:rsidR="00BF25C2" w:rsidRPr="00207B8A" w:rsidRDefault="00BF25C2" w:rsidP="00D77922">
      <w:pPr>
        <w:pStyle w:val="Heading2"/>
        <w:rPr>
          <w:bCs/>
        </w:rPr>
      </w:pPr>
      <w:bookmarkStart w:id="2" w:name="_Toc224651566"/>
      <w:r w:rsidRPr="00207B8A">
        <w:t>Internal Medicine Services</w:t>
      </w:r>
      <w:bookmarkEnd w:id="2"/>
    </w:p>
    <w:p w14:paraId="636BB2CE" w14:textId="05FDC01B" w:rsidR="007D37C7" w:rsidRDefault="00845E03" w:rsidP="00A11129">
      <w:pPr>
        <w:pStyle w:val="ListParagraph"/>
        <w:numPr>
          <w:ilvl w:val="0"/>
          <w:numId w:val="6"/>
        </w:numPr>
        <w:spacing w:after="0"/>
      </w:pPr>
      <w:r>
        <w:t xml:space="preserve">The </w:t>
      </w:r>
      <w:r w:rsidR="00BF25C2" w:rsidRPr="00207B8A">
        <w:t>affected resident</w:t>
      </w:r>
      <w:r w:rsidR="00797756">
        <w:t xml:space="preserve"> should</w:t>
      </w:r>
      <w:r w:rsidR="00BF25C2" w:rsidRPr="00207B8A">
        <w:t xml:space="preserve"> </w:t>
      </w:r>
      <w:r w:rsidR="00BF25C2" w:rsidRPr="003A3D51">
        <w:rPr>
          <w:u w:val="single"/>
        </w:rPr>
        <w:t>immediately</w:t>
      </w:r>
      <w:r w:rsidR="00BF25C2" w:rsidRPr="00207B8A">
        <w:t xml:space="preserve"> </w:t>
      </w:r>
      <w:r w:rsidR="00BF25C2" w:rsidRPr="00797756">
        <w:t>notif</w:t>
      </w:r>
      <w:r w:rsidR="00797756" w:rsidRPr="00797756">
        <w:t>y</w:t>
      </w:r>
      <w:r w:rsidR="00BF25C2" w:rsidRPr="00797756">
        <w:t xml:space="preserve"> the </w:t>
      </w:r>
      <w:r w:rsidR="000D3F5B">
        <w:t xml:space="preserve">IM </w:t>
      </w:r>
      <w:r w:rsidR="00BF25C2" w:rsidRPr="00797756">
        <w:t>Chief</w:t>
      </w:r>
      <w:r w:rsidR="00797756" w:rsidRPr="00797756">
        <w:t xml:space="preserve"> </w:t>
      </w:r>
      <w:r w:rsidR="00BF25C2" w:rsidRPr="00797756">
        <w:t>Resident On-Call</w:t>
      </w:r>
      <w:r w:rsidR="000D3F5B">
        <w:t xml:space="preserve"> by phone</w:t>
      </w:r>
    </w:p>
    <w:p w14:paraId="33E3E476" w14:textId="54C3AC80" w:rsidR="000D3F5B" w:rsidRDefault="00BF25C2" w:rsidP="000D3F5B">
      <w:pPr>
        <w:pStyle w:val="ListParagraph"/>
        <w:numPr>
          <w:ilvl w:val="1"/>
          <w:numId w:val="6"/>
        </w:numPr>
        <w:spacing w:after="0"/>
      </w:pPr>
      <w:r w:rsidRPr="00207B8A">
        <w:t>Email, text,</w:t>
      </w:r>
      <w:r w:rsidR="003A3D51">
        <w:t xml:space="preserve"> and</w:t>
      </w:r>
      <w:r w:rsidRPr="00207B8A">
        <w:t xml:space="preserve"> Epic Secure Chat are </w:t>
      </w:r>
      <w:r w:rsidRPr="00D77922">
        <w:rPr>
          <w:u w:val="single"/>
        </w:rPr>
        <w:t>not</w:t>
      </w:r>
      <w:r w:rsidRPr="00207B8A">
        <w:t xml:space="preserve"> </w:t>
      </w:r>
      <w:r w:rsidR="00797756">
        <w:t>acceptable</w:t>
      </w:r>
      <w:r w:rsidR="00A11129">
        <w:t xml:space="preserve"> forms of communication</w:t>
      </w:r>
      <w:r w:rsidR="00797756">
        <w:t xml:space="preserve"> for urgent issues</w:t>
      </w:r>
      <w:r w:rsidR="00A11129">
        <w:t>.</w:t>
      </w:r>
    </w:p>
    <w:p w14:paraId="7D8F4193" w14:textId="57B07C63" w:rsidR="000D3F5B" w:rsidRDefault="000D3F5B" w:rsidP="000D3F5B">
      <w:pPr>
        <w:pStyle w:val="ListParagraph"/>
        <w:numPr>
          <w:ilvl w:val="0"/>
          <w:numId w:val="6"/>
        </w:numPr>
        <w:spacing w:after="0"/>
      </w:pPr>
      <w:r>
        <w:t>The IM Chief On-Call will assess the situation</w:t>
      </w:r>
      <w:r w:rsidR="003A3D51">
        <w:t xml:space="preserve"> and</w:t>
      </w:r>
      <w:r>
        <w:t xml:space="preserve"> determine if </w:t>
      </w:r>
      <w:r w:rsidR="003A3D51">
        <w:t xml:space="preserve">it </w:t>
      </w:r>
      <w:r>
        <w:t>meets the community standard for an unanticipated absence</w:t>
      </w:r>
      <w:r w:rsidR="003A3D51">
        <w:t>:</w:t>
      </w:r>
    </w:p>
    <w:p w14:paraId="0110B237" w14:textId="453BCD29" w:rsidR="000D3F5B" w:rsidRDefault="000D3F5B" w:rsidP="000D3F5B">
      <w:pPr>
        <w:pStyle w:val="ListParagraph"/>
        <w:numPr>
          <w:ilvl w:val="1"/>
          <w:numId w:val="6"/>
        </w:numPr>
        <w:spacing w:after="0"/>
      </w:pPr>
      <w:r>
        <w:t xml:space="preserve">If the situation does </w:t>
      </w:r>
      <w:r>
        <w:rPr>
          <w:b/>
          <w:bCs/>
          <w:u w:val="single"/>
        </w:rPr>
        <w:t>not</w:t>
      </w:r>
      <w:r>
        <w:t xml:space="preserve"> qualify:</w:t>
      </w:r>
    </w:p>
    <w:p w14:paraId="34E2BC86" w14:textId="3768A8D2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The resident is expected to report as scheduled</w:t>
      </w:r>
    </w:p>
    <w:p w14:paraId="29974C2A" w14:textId="5E7B06CC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Failure to do so constitute</w:t>
      </w:r>
      <w:r w:rsidR="006F06E4">
        <w:t>s</w:t>
      </w:r>
      <w:r>
        <w:t xml:space="preserve"> a professionalism violation and may result in notification of program leadership</w:t>
      </w:r>
    </w:p>
    <w:p w14:paraId="2D1DC7B3" w14:textId="223A84A0" w:rsidR="000D3F5B" w:rsidRDefault="000D3F5B" w:rsidP="000D3F5B">
      <w:pPr>
        <w:pStyle w:val="ListParagraph"/>
        <w:numPr>
          <w:ilvl w:val="1"/>
          <w:numId w:val="6"/>
        </w:numPr>
        <w:spacing w:after="0"/>
      </w:pPr>
      <w:r>
        <w:t>If the situation qualifies but is temporary:</w:t>
      </w:r>
    </w:p>
    <w:p w14:paraId="78B580AD" w14:textId="72333CDB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The Chief will notify the clinical team</w:t>
      </w:r>
    </w:p>
    <w:p w14:paraId="094F941C" w14:textId="2366E230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The resident may be asked to return for partial duties when feasible</w:t>
      </w:r>
    </w:p>
    <w:p w14:paraId="47052499" w14:textId="6A02D3AA" w:rsidR="000D3F5B" w:rsidRDefault="000D3F5B" w:rsidP="000D3F5B">
      <w:pPr>
        <w:pStyle w:val="ListParagraph"/>
        <w:numPr>
          <w:ilvl w:val="1"/>
          <w:numId w:val="6"/>
        </w:numPr>
        <w:spacing w:after="0"/>
      </w:pPr>
      <w:r>
        <w:t>If the situation qualifies</w:t>
      </w:r>
      <w:r w:rsidR="006F06E4">
        <w:t>:</w:t>
      </w:r>
    </w:p>
    <w:p w14:paraId="2B14E012" w14:textId="7F505F24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The resident will be excused from clinical duties</w:t>
      </w:r>
    </w:p>
    <w:p w14:paraId="5A9CF17C" w14:textId="584DC73E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>The Chief will notify the clinical team and determine if jeopardy (hit list) coverage is required</w:t>
      </w:r>
    </w:p>
    <w:p w14:paraId="27E53104" w14:textId="370521B9" w:rsidR="000D3F5B" w:rsidRDefault="000D3F5B" w:rsidP="000D3F5B">
      <w:pPr>
        <w:pStyle w:val="ListParagraph"/>
        <w:numPr>
          <w:ilvl w:val="2"/>
          <w:numId w:val="6"/>
        </w:numPr>
        <w:spacing w:after="0"/>
      </w:pPr>
      <w:r>
        <w:t xml:space="preserve">The resident and/or Chief should notify the </w:t>
      </w:r>
      <w:r w:rsidR="006F06E4">
        <w:t xml:space="preserve">resident’s respective </w:t>
      </w:r>
      <w:r>
        <w:t>Program Coordinator</w:t>
      </w:r>
    </w:p>
    <w:p w14:paraId="1C1B1844" w14:textId="6F45FC4B" w:rsidR="000D3F5B" w:rsidRPr="00207B8A" w:rsidRDefault="006F06E4" w:rsidP="000D3F5B">
      <w:pPr>
        <w:pStyle w:val="ListParagraph"/>
        <w:numPr>
          <w:ilvl w:val="3"/>
          <w:numId w:val="6"/>
        </w:numPr>
        <w:spacing w:after="0"/>
      </w:pPr>
      <w:r>
        <w:t xml:space="preserve">IM residents </w:t>
      </w:r>
      <w:r w:rsidR="000D3F5B">
        <w:t xml:space="preserve">may be asked to complete a </w:t>
      </w:r>
      <w:proofErr w:type="spellStart"/>
      <w:r w:rsidR="000D3F5B">
        <w:t>Jotform</w:t>
      </w:r>
      <w:proofErr w:type="spellEnd"/>
      <w:r w:rsidR="000D3F5B">
        <w:t xml:space="preserve"> survey for tracking purposes</w:t>
      </w:r>
    </w:p>
    <w:p w14:paraId="5105FCFF" w14:textId="5225879D" w:rsidR="00BF25C2" w:rsidRPr="00207B8A" w:rsidRDefault="00BF25C2" w:rsidP="00D77922">
      <w:pPr>
        <w:pStyle w:val="Heading2"/>
      </w:pPr>
      <w:bookmarkStart w:id="3" w:name="_Toc224651568"/>
      <w:r w:rsidRPr="00207B8A">
        <w:lastRenderedPageBreak/>
        <w:t>Off-Service</w:t>
      </w:r>
      <w:r w:rsidR="00CE246B">
        <w:t xml:space="preserve"> Clinical Rotations</w:t>
      </w:r>
      <w:bookmarkEnd w:id="3"/>
    </w:p>
    <w:p w14:paraId="55AB386D" w14:textId="24A0814B" w:rsidR="006F06E4" w:rsidRDefault="000D3F5B" w:rsidP="006F06E4">
      <w:pPr>
        <w:spacing w:after="0"/>
      </w:pPr>
      <w:r>
        <w:t>Residents completing clinical rotations</w:t>
      </w:r>
      <w:r w:rsidR="006F06E4">
        <w:t xml:space="preserve"> outside</w:t>
      </w:r>
      <w:r>
        <w:t xml:space="preserve"> the Department of Internal Medicine, </w:t>
      </w:r>
      <w:r w:rsidR="00BF25C2" w:rsidRPr="00207B8A">
        <w:t xml:space="preserve">including but not limited to Neurology, Emergency Medicine, Pediatrics, or Psychiatry, </w:t>
      </w:r>
      <w:r>
        <w:t xml:space="preserve">should follow </w:t>
      </w:r>
      <w:r w:rsidR="006F06E4">
        <w:t xml:space="preserve">the </w:t>
      </w:r>
      <w:r>
        <w:t xml:space="preserve">absence </w:t>
      </w:r>
      <w:r w:rsidR="00BF25C2" w:rsidRPr="00207B8A">
        <w:t xml:space="preserve">policies </w:t>
      </w:r>
      <w:r>
        <w:t>of the rotating service.</w:t>
      </w:r>
    </w:p>
    <w:p w14:paraId="05DEA8C8" w14:textId="461348F3" w:rsidR="006F06E4" w:rsidRDefault="006F06E4" w:rsidP="006F06E4">
      <w:pPr>
        <w:pStyle w:val="ListParagraph"/>
        <w:numPr>
          <w:ilvl w:val="0"/>
          <w:numId w:val="12"/>
        </w:numPr>
        <w:spacing w:after="0"/>
      </w:pPr>
      <w:r>
        <w:t>IM residents should notify the IM Program Coordinator of any absences</w:t>
      </w:r>
    </w:p>
    <w:p w14:paraId="49A7CEFB" w14:textId="13419A3C" w:rsidR="00CE246B" w:rsidRDefault="00CE246B" w:rsidP="00CE246B">
      <w:pPr>
        <w:pStyle w:val="Heading1"/>
      </w:pPr>
      <w:bookmarkStart w:id="4" w:name="_Toc224651569"/>
      <w:r>
        <w:t>Anticipated Absences</w:t>
      </w:r>
      <w:bookmarkEnd w:id="4"/>
    </w:p>
    <w:p w14:paraId="062B9580" w14:textId="180CCFBC" w:rsidR="00CE246B" w:rsidRPr="00207B8A" w:rsidRDefault="002C69A4" w:rsidP="00CE246B">
      <w:r w:rsidRPr="002C69A4">
        <w:t>UK IMRP recognizes that residents may request planned absences from clinical duties for a variety of reasons, including standardized exams (e.g., USMLE Step 3, COMLEX Level 3), academic conferences, weddings, or family events. Requests are reviewed on a case-by-case basis, balancing resident well-being, the</w:t>
      </w:r>
      <w:r>
        <w:t xml:space="preserve"> potential</w:t>
      </w:r>
      <w:r w:rsidRPr="002C69A4">
        <w:t xml:space="preserve"> impact on co-residents, patient care and staffing needs, and the educational value of missed clinical duties.</w:t>
      </w:r>
    </w:p>
    <w:p w14:paraId="6119B1EF" w14:textId="2B858B32" w:rsidR="00BF25C2" w:rsidRDefault="00BF25C2" w:rsidP="00CE246B">
      <w:pPr>
        <w:pStyle w:val="Heading2"/>
      </w:pPr>
      <w:bookmarkStart w:id="5" w:name="_Toc224651570"/>
      <w:r w:rsidRPr="00207B8A">
        <w:t>Coverage of Clinical Duties</w:t>
      </w:r>
      <w:bookmarkEnd w:id="5"/>
    </w:p>
    <w:p w14:paraId="4C2A465D" w14:textId="3E8A2B59" w:rsidR="00E136AB" w:rsidRDefault="00E136AB" w:rsidP="00E136AB">
      <w:pPr>
        <w:pStyle w:val="ListParagraph"/>
        <w:numPr>
          <w:ilvl w:val="0"/>
          <w:numId w:val="9"/>
        </w:numPr>
      </w:pPr>
      <w:r w:rsidRPr="00E136AB">
        <w:t>I</w:t>
      </w:r>
      <w:r w:rsidR="00F456F6">
        <w:t xml:space="preserve">f </w:t>
      </w:r>
      <w:r w:rsidRPr="00E136AB">
        <w:t>a resident</w:t>
      </w:r>
      <w:r w:rsidR="003A3D51">
        <w:t xml:space="preserve"> requests a planned absence while assigned to </w:t>
      </w:r>
      <w:r w:rsidR="003A3D51" w:rsidRPr="003A3D51">
        <w:rPr>
          <w:b/>
          <w:bCs/>
        </w:rPr>
        <w:t>inpatient wards</w:t>
      </w:r>
      <w:r w:rsidR="003A3D51">
        <w:t xml:space="preserve"> or </w:t>
      </w:r>
      <w:r w:rsidR="003A3D51" w:rsidRPr="003A3D51">
        <w:rPr>
          <w:b/>
          <w:bCs/>
        </w:rPr>
        <w:t>critical care</w:t>
      </w:r>
      <w:r w:rsidR="00416EE1" w:rsidRPr="003A3D51">
        <w:rPr>
          <w:b/>
          <w:bCs/>
        </w:rPr>
        <w:t xml:space="preserve"> service</w:t>
      </w:r>
      <w:r w:rsidR="003A3D51" w:rsidRPr="003A3D51">
        <w:rPr>
          <w:b/>
          <w:bCs/>
        </w:rPr>
        <w:t>s</w:t>
      </w:r>
      <w:r w:rsidR="003A3D51">
        <w:t>, and the</w:t>
      </w:r>
      <w:r w:rsidRPr="00E136AB">
        <w:t xml:space="preserve"> absence may negatively impact patient care </w:t>
      </w:r>
      <w:r w:rsidR="00416EE1">
        <w:t>or the educational environment</w:t>
      </w:r>
      <w:r w:rsidR="003A3D51">
        <w:t xml:space="preserve">, </w:t>
      </w:r>
      <w:r w:rsidRPr="00E136AB">
        <w:rPr>
          <w:b/>
          <w:bCs/>
          <w:u w:val="single"/>
        </w:rPr>
        <w:t>the resident</w:t>
      </w:r>
      <w:r w:rsidR="00F456F6">
        <w:t xml:space="preserve"> </w:t>
      </w:r>
      <w:r w:rsidR="003A3D51">
        <w:t>is responsible for coordinating</w:t>
      </w:r>
      <w:r w:rsidRPr="00E136AB">
        <w:t xml:space="preserve"> appropriate coverage prior to approval</w:t>
      </w:r>
      <w:r w:rsidR="003A3D51">
        <w:t>.</w:t>
      </w:r>
    </w:p>
    <w:p w14:paraId="11DB72FA" w14:textId="24B285A6" w:rsidR="003A3D51" w:rsidRDefault="003A3D51" w:rsidP="00E136AB">
      <w:pPr>
        <w:pStyle w:val="ListParagraph"/>
        <w:numPr>
          <w:ilvl w:val="0"/>
          <w:numId w:val="9"/>
        </w:numPr>
      </w:pPr>
      <w:r>
        <w:t>Coverage may be provided by a peer of similar training level</w:t>
      </w:r>
      <w:r w:rsidR="002C69A4">
        <w:t>^</w:t>
      </w:r>
      <w:r>
        <w:t xml:space="preserve"> rotating </w:t>
      </w:r>
      <w:r w:rsidR="00C80445">
        <w:t xml:space="preserve">with an </w:t>
      </w:r>
      <w:r>
        <w:rPr>
          <w:b/>
          <w:bCs/>
        </w:rPr>
        <w:t>ambulatory or consult/elective</w:t>
      </w:r>
      <w:r>
        <w:t xml:space="preserve"> </w:t>
      </w:r>
      <w:r w:rsidRPr="00C80445">
        <w:rPr>
          <w:b/>
          <w:bCs/>
        </w:rPr>
        <w:t xml:space="preserve">service </w:t>
      </w:r>
      <w:r w:rsidR="00C80445">
        <w:t>on</w:t>
      </w:r>
      <w:r>
        <w:t xml:space="preserve"> the affected date(s) with the following restrictions:</w:t>
      </w:r>
    </w:p>
    <w:p w14:paraId="44D56DC2" w14:textId="0871EC20" w:rsidR="003A3D51" w:rsidRDefault="003A3D51" w:rsidP="003A3D51">
      <w:pPr>
        <w:pStyle w:val="ListParagraph"/>
        <w:numPr>
          <w:ilvl w:val="1"/>
          <w:numId w:val="9"/>
        </w:numPr>
      </w:pPr>
      <w:r>
        <w:t>The covering resident should not be pulled from continuity clinic</w:t>
      </w:r>
    </w:p>
    <w:p w14:paraId="5D13422A" w14:textId="43FFE5C9" w:rsidR="003A3D51" w:rsidRDefault="003A3D51" w:rsidP="003A3D51">
      <w:pPr>
        <w:pStyle w:val="ListParagraph"/>
        <w:numPr>
          <w:ilvl w:val="1"/>
          <w:numId w:val="9"/>
        </w:numPr>
      </w:pPr>
      <w:r>
        <w:t>The covering resident should not be assigned to jeopardy (hit list) on the affected date(s)</w:t>
      </w:r>
    </w:p>
    <w:p w14:paraId="13F7F00B" w14:textId="25DCB4B9" w:rsidR="003A3D51" w:rsidRPr="00207B8A" w:rsidRDefault="003A3D51" w:rsidP="003A3D51">
      <w:pPr>
        <w:pStyle w:val="ListParagraph"/>
        <w:numPr>
          <w:ilvl w:val="1"/>
          <w:numId w:val="9"/>
        </w:numPr>
      </w:pPr>
      <w:r>
        <w:t xml:space="preserve">The covering </w:t>
      </w:r>
      <w:proofErr w:type="gramStart"/>
      <w:r>
        <w:t>resident</w:t>
      </w:r>
      <w:proofErr w:type="gramEnd"/>
      <w:r>
        <w:t xml:space="preserve"> should not violate duty hours </w:t>
      </w:r>
      <w:proofErr w:type="gramStart"/>
      <w:r>
        <w:t>as a result of</w:t>
      </w:r>
      <w:proofErr w:type="gramEnd"/>
      <w:r>
        <w:t xml:space="preserve"> coverage (including moonlighting)</w:t>
      </w:r>
    </w:p>
    <w:p w14:paraId="1B896C6C" w14:textId="071E8F28" w:rsidR="002C69A4" w:rsidRPr="002C69A4" w:rsidRDefault="002C69A4" w:rsidP="00C8044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^</w:t>
      </w:r>
      <w:r w:rsidRPr="002C69A4">
        <w:rPr>
          <w:i/>
          <w:iCs/>
          <w:sz w:val="22"/>
          <w:szCs w:val="22"/>
        </w:rPr>
        <w:t xml:space="preserve">For interns, </w:t>
      </w:r>
      <w:r>
        <w:rPr>
          <w:i/>
          <w:iCs/>
          <w:sz w:val="22"/>
          <w:szCs w:val="22"/>
        </w:rPr>
        <w:t xml:space="preserve">this </w:t>
      </w:r>
      <w:r w:rsidRPr="002C69A4">
        <w:rPr>
          <w:i/>
          <w:iCs/>
          <w:sz w:val="22"/>
          <w:szCs w:val="22"/>
        </w:rPr>
        <w:t>include</w:t>
      </w:r>
      <w:r>
        <w:rPr>
          <w:i/>
          <w:iCs/>
          <w:sz w:val="22"/>
          <w:szCs w:val="22"/>
        </w:rPr>
        <w:t>s</w:t>
      </w:r>
      <w:r w:rsidRPr="002C69A4">
        <w:rPr>
          <w:i/>
          <w:iCs/>
          <w:sz w:val="22"/>
          <w:szCs w:val="22"/>
        </w:rPr>
        <w:t xml:space="preserve"> Preliminary interns, Categorical IM PGY-1s, Primary Care PGY-1s, Med-Peds PGY-1s, Med-Psych PGY-1/2</w:t>
      </w:r>
      <w:r>
        <w:rPr>
          <w:i/>
          <w:iCs/>
          <w:sz w:val="22"/>
          <w:szCs w:val="22"/>
        </w:rPr>
        <w:t>*</w:t>
      </w:r>
      <w:r w:rsidRPr="002C69A4">
        <w:rPr>
          <w:i/>
          <w:iCs/>
          <w:sz w:val="22"/>
          <w:szCs w:val="22"/>
        </w:rPr>
        <w:t>, and other off-service PGY-1 residents who rotate on Internal Medicine services during the academic year (e.g., Neurology, Psychiatry, Ophthalmology, Anesthesiology, or PM&amp;R interns), provided they are assigned to an eligible rotation and the</w:t>
      </w:r>
      <w:r>
        <w:rPr>
          <w:i/>
          <w:iCs/>
          <w:sz w:val="22"/>
          <w:szCs w:val="22"/>
        </w:rPr>
        <w:t xml:space="preserve"> rotating </w:t>
      </w:r>
      <w:r w:rsidRPr="002C69A4">
        <w:rPr>
          <w:i/>
          <w:iCs/>
          <w:sz w:val="22"/>
          <w:szCs w:val="22"/>
        </w:rPr>
        <w:t>service</w:t>
      </w:r>
      <w:r>
        <w:rPr>
          <w:i/>
          <w:iCs/>
          <w:sz w:val="22"/>
          <w:szCs w:val="22"/>
        </w:rPr>
        <w:t xml:space="preserve"> has</w:t>
      </w:r>
      <w:r w:rsidRPr="002C69A4">
        <w:rPr>
          <w:i/>
          <w:iCs/>
          <w:sz w:val="22"/>
          <w:szCs w:val="22"/>
        </w:rPr>
        <w:t xml:space="preserve"> approve</w:t>
      </w:r>
      <w:r>
        <w:rPr>
          <w:i/>
          <w:iCs/>
          <w:sz w:val="22"/>
          <w:szCs w:val="22"/>
        </w:rPr>
        <w:t>d</w:t>
      </w:r>
      <w:r w:rsidRPr="002C69A4">
        <w:rPr>
          <w:i/>
          <w:iCs/>
          <w:sz w:val="22"/>
          <w:szCs w:val="22"/>
        </w:rPr>
        <w:t xml:space="preserve"> coverage. More senior IM, Med-Peds, or Med-Psych residents may also provide coverage.</w:t>
      </w:r>
    </w:p>
    <w:p w14:paraId="76345548" w14:textId="24BAD77B" w:rsidR="00BF25C2" w:rsidRPr="00207B8A" w:rsidRDefault="002C69A4" w:rsidP="00C80445">
      <w:pPr>
        <w:rPr>
          <w:sz w:val="22"/>
          <w:szCs w:val="22"/>
        </w:rPr>
      </w:pPr>
      <w:r>
        <w:rPr>
          <w:i/>
          <w:iCs/>
          <w:sz w:val="22"/>
          <w:szCs w:val="22"/>
        </w:rPr>
        <w:t>^For upper-level residents, this includes</w:t>
      </w:r>
      <w:r w:rsidRPr="002C69A4">
        <w:rPr>
          <w:i/>
          <w:iCs/>
        </w:rPr>
        <w:t xml:space="preserve"> </w:t>
      </w:r>
      <w:r w:rsidRPr="002C69A4">
        <w:rPr>
          <w:i/>
          <w:iCs/>
          <w:sz w:val="22"/>
          <w:szCs w:val="22"/>
        </w:rPr>
        <w:t>Categorical IM PGY-2/3s, Primary Care PGY-2/3s, Med-Peds PGY-2–4s, and Med-Psych PGY-2</w:t>
      </w:r>
      <w:r>
        <w:rPr>
          <w:i/>
          <w:iCs/>
          <w:sz w:val="22"/>
          <w:szCs w:val="22"/>
        </w:rPr>
        <w:t>*</w:t>
      </w:r>
      <w:r w:rsidRPr="002C69A4">
        <w:rPr>
          <w:i/>
          <w:iCs/>
          <w:sz w:val="22"/>
          <w:szCs w:val="22"/>
        </w:rPr>
        <w:t>–5s.</w:t>
      </w:r>
    </w:p>
    <w:p w14:paraId="287E3B47" w14:textId="7905350A" w:rsidR="00F26D13" w:rsidRPr="00DF75FF" w:rsidRDefault="00C80445" w:rsidP="00C8044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3A3D51">
        <w:rPr>
          <w:sz w:val="22"/>
          <w:szCs w:val="22"/>
        </w:rPr>
        <w:t xml:space="preserve">Med-Psych </w:t>
      </w:r>
      <w:r w:rsidR="00BF25C2" w:rsidRPr="00207B8A">
        <w:rPr>
          <w:sz w:val="22"/>
          <w:szCs w:val="22"/>
        </w:rPr>
        <w:t xml:space="preserve">PGY-2 </w:t>
      </w:r>
      <w:r w:rsidR="003A3D51">
        <w:rPr>
          <w:sz w:val="22"/>
          <w:szCs w:val="22"/>
        </w:rPr>
        <w:t>designation varies by time of year.</w:t>
      </w:r>
    </w:p>
    <w:sectPr w:rsidR="00F26D13" w:rsidRPr="00DF75FF" w:rsidSect="00845E03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80DA" w14:textId="77777777" w:rsidR="00845E03" w:rsidRDefault="00845E03" w:rsidP="00845E03">
      <w:pPr>
        <w:spacing w:after="0" w:line="240" w:lineRule="auto"/>
      </w:pPr>
      <w:r>
        <w:separator/>
      </w:r>
    </w:p>
  </w:endnote>
  <w:endnote w:type="continuationSeparator" w:id="0">
    <w:p w14:paraId="200BF92F" w14:textId="77777777" w:rsidR="00845E03" w:rsidRDefault="00845E03" w:rsidP="0084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800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13E7B" w14:textId="310B6495" w:rsidR="00B77E02" w:rsidRPr="00B77E02" w:rsidRDefault="00207B8A" w:rsidP="00F652D8">
        <w:pPr>
          <w:pStyle w:val="Footer"/>
          <w:jc w:val="right"/>
          <w:rPr>
            <w:i/>
            <w:iCs/>
            <w:color w:val="A6A6A6" w:themeColor="background1" w:themeShade="A6"/>
            <w:sz w:val="22"/>
            <w:szCs w:val="22"/>
          </w:rPr>
        </w:pPr>
        <w:r w:rsidRPr="008B2EE9">
          <w:rPr>
            <w:i/>
            <w:iCs/>
            <w:color w:val="A6A6A6" w:themeColor="background1" w:themeShade="A6"/>
            <w:sz w:val="22"/>
            <w:szCs w:val="22"/>
          </w:rPr>
          <w:t>Updated:</w:t>
        </w:r>
        <w:r w:rsidR="00845E03">
          <w:rPr>
            <w:i/>
            <w:iCs/>
            <w:color w:val="A6A6A6" w:themeColor="background1" w:themeShade="A6"/>
            <w:sz w:val="22"/>
            <w:szCs w:val="22"/>
          </w:rPr>
          <w:t xml:space="preserve"> </w:t>
        </w:r>
        <w:r w:rsidR="0009044E">
          <w:rPr>
            <w:i/>
            <w:iCs/>
            <w:color w:val="A6A6A6" w:themeColor="background1" w:themeShade="A6"/>
            <w:sz w:val="22"/>
            <w:szCs w:val="22"/>
          </w:rPr>
          <w:t xml:space="preserve">April </w:t>
        </w:r>
        <w:r w:rsidR="00B77E02">
          <w:rPr>
            <w:i/>
            <w:iCs/>
            <w:color w:val="A6A6A6" w:themeColor="background1" w:themeShade="A6"/>
            <w:sz w:val="22"/>
            <w:szCs w:val="22"/>
          </w:rPr>
          <w:t>2026</w:t>
        </w:r>
      </w:p>
      <w:p w14:paraId="1DD5E88C" w14:textId="77777777" w:rsidR="00207B8A" w:rsidRPr="005C33F4" w:rsidRDefault="00207B8A" w:rsidP="005C33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FD8B" w14:textId="77777777" w:rsidR="00845E03" w:rsidRDefault="00845E03" w:rsidP="00845E03">
      <w:pPr>
        <w:spacing w:after="0" w:line="240" w:lineRule="auto"/>
      </w:pPr>
      <w:r>
        <w:separator/>
      </w:r>
    </w:p>
  </w:footnote>
  <w:footnote w:type="continuationSeparator" w:id="0">
    <w:p w14:paraId="37858E88" w14:textId="77777777" w:rsidR="00845E03" w:rsidRDefault="00845E03" w:rsidP="0084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300"/>
    <w:multiLevelType w:val="hybridMultilevel"/>
    <w:tmpl w:val="D154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27CD"/>
    <w:multiLevelType w:val="hybridMultilevel"/>
    <w:tmpl w:val="00E4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3450"/>
    <w:multiLevelType w:val="hybridMultilevel"/>
    <w:tmpl w:val="25D6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BF4"/>
    <w:multiLevelType w:val="hybridMultilevel"/>
    <w:tmpl w:val="6FF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547"/>
    <w:multiLevelType w:val="hybridMultilevel"/>
    <w:tmpl w:val="56F0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D7222"/>
    <w:multiLevelType w:val="hybridMultilevel"/>
    <w:tmpl w:val="C9B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01529"/>
    <w:multiLevelType w:val="hybridMultilevel"/>
    <w:tmpl w:val="0518D9CA"/>
    <w:lvl w:ilvl="0" w:tplc="7D5A45E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3755C"/>
    <w:multiLevelType w:val="hybridMultilevel"/>
    <w:tmpl w:val="57EA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5778D"/>
    <w:multiLevelType w:val="hybridMultilevel"/>
    <w:tmpl w:val="7BA8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D3061"/>
    <w:multiLevelType w:val="hybridMultilevel"/>
    <w:tmpl w:val="6C929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E6579"/>
    <w:multiLevelType w:val="hybridMultilevel"/>
    <w:tmpl w:val="3E8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A2961"/>
    <w:multiLevelType w:val="hybridMultilevel"/>
    <w:tmpl w:val="C34A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04964">
    <w:abstractNumId w:val="11"/>
  </w:num>
  <w:num w:numId="2" w16cid:durableId="378281849">
    <w:abstractNumId w:val="1"/>
  </w:num>
  <w:num w:numId="3" w16cid:durableId="1753818559">
    <w:abstractNumId w:val="7"/>
  </w:num>
  <w:num w:numId="4" w16cid:durableId="116802298">
    <w:abstractNumId w:val="5"/>
  </w:num>
  <w:num w:numId="5" w16cid:durableId="1083062960">
    <w:abstractNumId w:val="6"/>
  </w:num>
  <w:num w:numId="6" w16cid:durableId="12802932">
    <w:abstractNumId w:val="4"/>
  </w:num>
  <w:num w:numId="7" w16cid:durableId="654341566">
    <w:abstractNumId w:val="8"/>
  </w:num>
  <w:num w:numId="8" w16cid:durableId="1759322477">
    <w:abstractNumId w:val="3"/>
  </w:num>
  <w:num w:numId="9" w16cid:durableId="1326520084">
    <w:abstractNumId w:val="0"/>
  </w:num>
  <w:num w:numId="10" w16cid:durableId="1875999308">
    <w:abstractNumId w:val="10"/>
  </w:num>
  <w:num w:numId="11" w16cid:durableId="1207647078">
    <w:abstractNumId w:val="9"/>
  </w:num>
  <w:num w:numId="12" w16cid:durableId="6117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8A"/>
    <w:rsid w:val="000840F4"/>
    <w:rsid w:val="0009044E"/>
    <w:rsid w:val="00096291"/>
    <w:rsid w:val="000D3F5B"/>
    <w:rsid w:val="00124A5F"/>
    <w:rsid w:val="00134623"/>
    <w:rsid w:val="001F4410"/>
    <w:rsid w:val="00207B8A"/>
    <w:rsid w:val="00213596"/>
    <w:rsid w:val="002C69A4"/>
    <w:rsid w:val="003A3D51"/>
    <w:rsid w:val="003E620C"/>
    <w:rsid w:val="00416EE1"/>
    <w:rsid w:val="0045573D"/>
    <w:rsid w:val="00594A44"/>
    <w:rsid w:val="005F7BD0"/>
    <w:rsid w:val="006F06E4"/>
    <w:rsid w:val="006F5417"/>
    <w:rsid w:val="00797756"/>
    <w:rsid w:val="007A2792"/>
    <w:rsid w:val="007D0577"/>
    <w:rsid w:val="007D37C7"/>
    <w:rsid w:val="00845E03"/>
    <w:rsid w:val="00A11129"/>
    <w:rsid w:val="00B32E5A"/>
    <w:rsid w:val="00B76635"/>
    <w:rsid w:val="00B77E02"/>
    <w:rsid w:val="00BC6B30"/>
    <w:rsid w:val="00BF25C2"/>
    <w:rsid w:val="00C80445"/>
    <w:rsid w:val="00CE246B"/>
    <w:rsid w:val="00D77922"/>
    <w:rsid w:val="00DF75FF"/>
    <w:rsid w:val="00E136AB"/>
    <w:rsid w:val="00E56B8C"/>
    <w:rsid w:val="00EE00CC"/>
    <w:rsid w:val="00F26D13"/>
    <w:rsid w:val="00F456F6"/>
    <w:rsid w:val="00F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6EC3"/>
  <w15:chartTrackingRefBased/>
  <w15:docId w15:val="{E822ADB1-36D8-4C2C-A94E-70763FC9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2060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0C0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29"/>
    <w:rPr>
      <w:rFonts w:asciiTheme="majorHAnsi" w:eastAsiaTheme="majorEastAsia" w:hAnsiTheme="majorHAnsi" w:cstheme="majorBidi"/>
      <w:b/>
      <w:color w:val="002060"/>
      <w:sz w:val="40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1129"/>
    <w:rPr>
      <w:rFonts w:asciiTheme="majorHAnsi" w:eastAsiaTheme="majorEastAsia" w:hAnsiTheme="majorHAnsi" w:cstheme="majorBidi"/>
      <w:color w:val="0070C0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8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B8A"/>
  </w:style>
  <w:style w:type="paragraph" w:styleId="TOC2">
    <w:name w:val="toc 2"/>
    <w:basedOn w:val="Normal"/>
    <w:next w:val="Normal"/>
    <w:autoRedefine/>
    <w:uiPriority w:val="39"/>
    <w:unhideWhenUsed/>
    <w:rsid w:val="00BF25C2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F25C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25C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Kentucky College of Medicine – Internal Medicine Residency Program Trainee Absence and Coverage Policy</vt:lpstr>
    </vt:vector>
  </TitlesOfParts>
  <Company>University of Kentucky HealthCare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Kentucky College of Medicine – Internal Medicine Residency Program Trainee Absence and Coverage Policy</dc:title>
  <dc:subject/>
  <dc:creator>Wolber, Jeffrey M.</dc:creator>
  <cp:keywords/>
  <dc:description/>
  <cp:lastModifiedBy>Hereford, Hayley M.</cp:lastModifiedBy>
  <cp:revision>2</cp:revision>
  <dcterms:created xsi:type="dcterms:W3CDTF">2026-05-14T18:34:00Z</dcterms:created>
  <dcterms:modified xsi:type="dcterms:W3CDTF">2026-05-14T18:34:00Z</dcterms:modified>
</cp:coreProperties>
</file>